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color w:val="FF0000"/>
          <w:sz w:val="44"/>
          <w:szCs w:val="44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第50届校企合作人才供需（华中区）网络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4"/>
          <w:szCs w:val="44"/>
          <w:lang w:val="en-US" w:eastAsia="zh-CN"/>
        </w:rPr>
        <w:t>视频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会议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是企业抢占人才、储备人才的人才战略之趋势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产教融合是职业院校培养高素质技能型人才的重要模式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疫情当前，为响应国家号召，降低实体会议可能带来的交叉感染风险，充分发挥“互联网+”的作用，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从而实现企业人力资本的扩张，增强企业人才存量，形成企业隐形成本，提升企业核心竞争力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我司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开展多渠道线上网络视频校企合作对接服务，将校企合作会从“现场”转为“线上”，搭建人才供需平台，帮助校企精准对接。兹定于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2020年6月16日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="仿宋"/>
          <w:b/>
          <w:bCs w:val="0"/>
          <w:snapToGrid w:val="0"/>
          <w:color w:val="FF0000"/>
          <w:kern w:val="0"/>
          <w:sz w:val="28"/>
          <w:szCs w:val="28"/>
          <w:lang w:val="en-US" w:eastAsia="zh-CN"/>
        </w:rPr>
        <w:t>第50届校企合作人才供需（华中区）网络视频会议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一、主办单位：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小程序--云端会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“抗疫情，促就业，助复工”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视频直观洽谈：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参会校企双方均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可通过微信搜索小程序--云端会，注册进入会场，通过审核后，可在会议期间进行视频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对接。（每家企业只能注册一个账号）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微信群聊互动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由主办方建立，统一邀请所有参会嘉宾（2人/企业）进群。校企双方可互加微信好友交流、可微信视频洽谈，也可在群内发送与会议相关的单位小视频。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配发宣传资料：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由主办方根据校企提供资料（如院校简介、毕业生情况、院校负责人联系方式等），排版会刊。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后在校企合作网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进行免费宣传。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四、会议概况：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时间：6月16日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2、院校分布：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u w:val="none"/>
          <w:lang w:val="en-US" w:eastAsia="zh-CN"/>
        </w:rPr>
        <w:t>河南、山西地区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院校为主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，辐射全国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会议规模：拟邀请学校与企业近百家的大型网络视频洽谈会。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175260</wp:posOffset>
            </wp:positionV>
            <wp:extent cx="1443355" cy="1739900"/>
            <wp:effectExtent l="0" t="0" r="4445" b="12700"/>
            <wp:wrapSquare wrapText="bothSides"/>
            <wp:docPr id="2" name="图片 2" descr="30478bc1c2ad139ff1b28a1bd4369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478bc1c2ad139ff1b28a1bd4369a73"/>
                    <pic:cNvPicPr>
                      <a:picLocks noChangeAspect="1"/>
                    </pic:cNvPicPr>
                  </pic:nvPicPr>
                  <pic:blipFill>
                    <a:blip r:embed="rId4"/>
                    <a:srcRect b="7280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五、参会方式：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（一）扫描右侧二维码，进入企业报名入口，填写、上传单位信息（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企业简介或招工简章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、回执表盖章扫描件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），进行网上报名。或直接进入校企合作网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【www.zgxqhzw.cn】，点击校企会报名--企业报名，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进行网上报名。资料提交后，请及时致电会务组（业务）联系人确认，以便会务组及时按回执先后排序统一制作会刊。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（二）参会企业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扫码、登录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进入网络视频会议会场，会议当天与在线的各大院校负责人线上对接，发起/接收网络视频申请，也可主动搜索院校名称，视频连线。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六、参会项目及费用：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（一）费用说明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1、普通企业参会1200元/单位（每单位一个账号），含会刊资料费。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2、人力资源、劳务派遣等企业参会1500元/单位（每单位一个账号），含会刊资料费。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3、更多项目请致电咨询。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转账方式（仅限以下账号）：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3368008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联系人：张瑞15399217796        刘晓栋13509179339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47625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：参会报名回执表      </w:t>
      </w:r>
      <w:bookmarkStart w:id="1" w:name="_GoBack"/>
      <w:bookmarkEnd w:id="1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        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企合作大会会务组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五月十八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附件：参会报名回执表  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届校企合作人才供需洽谈会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（企业）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我企业同意参加校企合作网举办的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届校企合作人才供需洽谈会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云端会、大会会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20AE"/>
    <w:rsid w:val="01EB7D23"/>
    <w:rsid w:val="021B0EF2"/>
    <w:rsid w:val="02DB7849"/>
    <w:rsid w:val="02EA02F6"/>
    <w:rsid w:val="05576608"/>
    <w:rsid w:val="05DB2490"/>
    <w:rsid w:val="05DD0E49"/>
    <w:rsid w:val="06A70485"/>
    <w:rsid w:val="08A87FE9"/>
    <w:rsid w:val="0AE82FE8"/>
    <w:rsid w:val="0DAF0126"/>
    <w:rsid w:val="0DD63DAF"/>
    <w:rsid w:val="0FC82FB5"/>
    <w:rsid w:val="10385362"/>
    <w:rsid w:val="10745855"/>
    <w:rsid w:val="10D9652B"/>
    <w:rsid w:val="10FC148B"/>
    <w:rsid w:val="13CA6B67"/>
    <w:rsid w:val="1930731A"/>
    <w:rsid w:val="19A81CD4"/>
    <w:rsid w:val="1A594142"/>
    <w:rsid w:val="1B323936"/>
    <w:rsid w:val="20560318"/>
    <w:rsid w:val="2077488F"/>
    <w:rsid w:val="20FC075B"/>
    <w:rsid w:val="2165169E"/>
    <w:rsid w:val="22434043"/>
    <w:rsid w:val="224B5A46"/>
    <w:rsid w:val="22A44E7F"/>
    <w:rsid w:val="23264EAB"/>
    <w:rsid w:val="25B13B78"/>
    <w:rsid w:val="262E6060"/>
    <w:rsid w:val="26442AFC"/>
    <w:rsid w:val="26D11AA9"/>
    <w:rsid w:val="2727427B"/>
    <w:rsid w:val="27604F93"/>
    <w:rsid w:val="27670B08"/>
    <w:rsid w:val="27992355"/>
    <w:rsid w:val="294B6B3F"/>
    <w:rsid w:val="29EC3267"/>
    <w:rsid w:val="2BC9599F"/>
    <w:rsid w:val="2E137A44"/>
    <w:rsid w:val="2E962CA7"/>
    <w:rsid w:val="2E974AF4"/>
    <w:rsid w:val="2EB827E6"/>
    <w:rsid w:val="32CF3DF2"/>
    <w:rsid w:val="344D7886"/>
    <w:rsid w:val="355967EF"/>
    <w:rsid w:val="35825A30"/>
    <w:rsid w:val="35BB2121"/>
    <w:rsid w:val="35FD7985"/>
    <w:rsid w:val="377A0744"/>
    <w:rsid w:val="39C4616B"/>
    <w:rsid w:val="3A0D21BD"/>
    <w:rsid w:val="3A7276DE"/>
    <w:rsid w:val="3BA71C72"/>
    <w:rsid w:val="3C36152D"/>
    <w:rsid w:val="3D2646C0"/>
    <w:rsid w:val="3D7042A5"/>
    <w:rsid w:val="3E596992"/>
    <w:rsid w:val="3F6742C8"/>
    <w:rsid w:val="402F5DCD"/>
    <w:rsid w:val="40E12780"/>
    <w:rsid w:val="429A02AF"/>
    <w:rsid w:val="42EF748D"/>
    <w:rsid w:val="442D4D90"/>
    <w:rsid w:val="491163E9"/>
    <w:rsid w:val="49FF77D7"/>
    <w:rsid w:val="4A280993"/>
    <w:rsid w:val="4A33372D"/>
    <w:rsid w:val="4D290CF1"/>
    <w:rsid w:val="4D8B17F1"/>
    <w:rsid w:val="4E7D0A17"/>
    <w:rsid w:val="4F3C39D6"/>
    <w:rsid w:val="4FDE06E5"/>
    <w:rsid w:val="50D05E3C"/>
    <w:rsid w:val="518A347B"/>
    <w:rsid w:val="52D0043C"/>
    <w:rsid w:val="535E7649"/>
    <w:rsid w:val="53725413"/>
    <w:rsid w:val="541A26B0"/>
    <w:rsid w:val="5465510C"/>
    <w:rsid w:val="569E53ED"/>
    <w:rsid w:val="5783417D"/>
    <w:rsid w:val="586178B2"/>
    <w:rsid w:val="5AD75C9D"/>
    <w:rsid w:val="5C415A14"/>
    <w:rsid w:val="5C756B99"/>
    <w:rsid w:val="5F0029D1"/>
    <w:rsid w:val="61216DDC"/>
    <w:rsid w:val="64BF10E6"/>
    <w:rsid w:val="65D74F3A"/>
    <w:rsid w:val="663E17DD"/>
    <w:rsid w:val="689841A8"/>
    <w:rsid w:val="6B7067B3"/>
    <w:rsid w:val="6C001F9E"/>
    <w:rsid w:val="6C5D1654"/>
    <w:rsid w:val="6D0A0F3B"/>
    <w:rsid w:val="6D602211"/>
    <w:rsid w:val="6DC33C5F"/>
    <w:rsid w:val="6E654E3B"/>
    <w:rsid w:val="6E8F7997"/>
    <w:rsid w:val="6F0B68AC"/>
    <w:rsid w:val="6F8E5674"/>
    <w:rsid w:val="6FB662FE"/>
    <w:rsid w:val="70D43530"/>
    <w:rsid w:val="718F0DF9"/>
    <w:rsid w:val="71AF26DB"/>
    <w:rsid w:val="71FF0C37"/>
    <w:rsid w:val="72E83E91"/>
    <w:rsid w:val="73B7104D"/>
    <w:rsid w:val="77C35D42"/>
    <w:rsid w:val="77FB4ED0"/>
    <w:rsid w:val="78435663"/>
    <w:rsid w:val="7C1A1554"/>
    <w:rsid w:val="7C976F89"/>
    <w:rsid w:val="7DFB46E5"/>
    <w:rsid w:val="7E232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styleId="10">
    <w:name w:val="HTML Cite"/>
    <w:basedOn w:val="5"/>
    <w:qFormat/>
    <w:uiPriority w:val="0"/>
  </w:style>
  <w:style w:type="character" w:customStyle="1" w:styleId="11">
    <w:name w:val="hover13"/>
    <w:basedOn w:val="5"/>
    <w:qFormat/>
    <w:uiPriority w:val="0"/>
    <w:rPr>
      <w:color w:val="557EE7"/>
    </w:rPr>
  </w:style>
  <w:style w:type="character" w:customStyle="1" w:styleId="12">
    <w:name w:val="hover14"/>
    <w:basedOn w:val="5"/>
    <w:qFormat/>
    <w:uiPriority w:val="0"/>
    <w:rPr>
      <w:color w:val="557EE7"/>
    </w:rPr>
  </w:style>
  <w:style w:type="character" w:customStyle="1" w:styleId="13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2</TotalTime>
  <ScaleCrop>false</ScaleCrop>
  <LinksUpToDate>false</LinksUpToDate>
  <CharactersWithSpaces>4879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dcterms:modified xsi:type="dcterms:W3CDTF">2020-05-21T01:55:16Z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